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DC2" w:rsidRPr="00EB3DC2" w:rsidRDefault="00EB3DC2" w:rsidP="00EB3DC2">
      <w:pPr>
        <w:spacing w:after="100" w:afterAutospacing="1"/>
        <w:outlineLvl w:val="0"/>
        <w:rPr>
          <w:rFonts w:ascii="Roboto Black" w:eastAsia="Times New Roman" w:hAnsi="Roboto Black" w:cs="Times New Roman"/>
          <w:color w:val="055097"/>
          <w:kern w:val="36"/>
          <w:sz w:val="48"/>
          <w:szCs w:val="48"/>
        </w:rPr>
      </w:pPr>
      <w:r w:rsidRPr="00EB3DC2">
        <w:rPr>
          <w:rFonts w:ascii="Roboto Black" w:eastAsia="Times New Roman" w:hAnsi="Roboto Black" w:cs="Times New Roman"/>
          <w:color w:val="055097"/>
          <w:kern w:val="36"/>
          <w:sz w:val="48"/>
          <w:szCs w:val="48"/>
        </w:rPr>
        <w:t>Golden Companion - Full Size 3 Wheel Scooter Warranty Information</w:t>
      </w:r>
    </w:p>
    <w:p w:rsidR="00EB3DC2" w:rsidRPr="00EB3DC2" w:rsidRDefault="00EB3DC2" w:rsidP="00EB3DC2">
      <w:pPr>
        <w:rPr>
          <w:rFonts w:ascii="Times New Roman" w:eastAsia="Times New Roman" w:hAnsi="Times New Roman" w:cs="Times New Roman"/>
        </w:rPr>
      </w:pPr>
      <w:r w:rsidRPr="00EB3DC2">
        <w:rPr>
          <w:rFonts w:ascii="Times New Roman" w:eastAsia="Times New Roman" w:hAnsi="Times New Roman" w:cs="Times New Roman"/>
        </w:rPr>
        <w:t>Back</w:t>
      </w:r>
    </w:p>
    <w:p w:rsidR="00EB3DC2" w:rsidRPr="00EB3DC2" w:rsidRDefault="00EB3DC2" w:rsidP="00EB3DC2">
      <w:pPr>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 xml:space="preserve">This product is covered by a ONE YEAR IN-HOME PARTS &amp; LABOR WARRANTY. This warranty is in addition to the standard warranty from the manufacturer which is listed below. Where the manufacturer's warranty is less than one year, this warranty will provide additional coverage of both parts and labor for the entire </w:t>
      </w:r>
      <w:proofErr w:type="gramStart"/>
      <w:r w:rsidRPr="00EB3DC2">
        <w:rPr>
          <w:rFonts w:ascii="Open Sans" w:eastAsia="Times New Roman" w:hAnsi="Open Sans" w:cs="Open Sans"/>
          <w:color w:val="212529"/>
          <w:sz w:val="29"/>
          <w:szCs w:val="29"/>
        </w:rPr>
        <w:t>one year</w:t>
      </w:r>
      <w:proofErr w:type="gramEnd"/>
      <w:r w:rsidRPr="00EB3DC2">
        <w:rPr>
          <w:rFonts w:ascii="Open Sans" w:eastAsia="Times New Roman" w:hAnsi="Open Sans" w:cs="Open Sans"/>
          <w:color w:val="212529"/>
          <w:sz w:val="29"/>
          <w:szCs w:val="29"/>
        </w:rPr>
        <w:t xml:space="preserve"> period starting from the date of purchase.</w:t>
      </w:r>
      <w:r w:rsidRPr="00EB3DC2">
        <w:rPr>
          <w:rFonts w:ascii="Open Sans" w:eastAsia="Times New Roman" w:hAnsi="Open Sans" w:cs="Open Sans"/>
          <w:color w:val="212529"/>
          <w:sz w:val="29"/>
          <w:szCs w:val="29"/>
        </w:rPr>
        <w:br/>
      </w:r>
      <w:r w:rsidRPr="00EB3DC2">
        <w:rPr>
          <w:rFonts w:ascii="Open Sans" w:eastAsia="Times New Roman" w:hAnsi="Open Sans" w:cs="Open Sans"/>
          <w:color w:val="212529"/>
          <w:sz w:val="29"/>
          <w:szCs w:val="29"/>
        </w:rPr>
        <w:br/>
        <w:t>MANUFACTURERS WARRANTY:</w:t>
      </w:r>
      <w:r w:rsidRPr="00EB3DC2">
        <w:rPr>
          <w:rFonts w:ascii="Open Sans" w:eastAsia="Times New Roman" w:hAnsi="Open Sans" w:cs="Open Sans"/>
          <w:color w:val="212529"/>
          <w:sz w:val="29"/>
          <w:szCs w:val="29"/>
        </w:rPr>
        <w:br/>
      </w:r>
      <w:r w:rsidRPr="00EB3DC2">
        <w:rPr>
          <w:rFonts w:ascii="Open Sans" w:eastAsia="Times New Roman" w:hAnsi="Open Sans" w:cs="Open Sans"/>
          <w:color w:val="212529"/>
          <w:sz w:val="29"/>
          <w:szCs w:val="29"/>
        </w:rPr>
        <w:br/>
        <w:t>LIFETIME WARRANTY - The lifetime warranty includes the structural frame components listed below:</w:t>
      </w:r>
    </w:p>
    <w:p w:rsidR="00EB3DC2" w:rsidRPr="00EB3DC2" w:rsidRDefault="00EB3DC2" w:rsidP="00EB3DC2">
      <w:pPr>
        <w:numPr>
          <w:ilvl w:val="0"/>
          <w:numId w:val="1"/>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Main metal frame </w:t>
      </w:r>
    </w:p>
    <w:p w:rsidR="00EB3DC2" w:rsidRPr="00EB3DC2" w:rsidRDefault="00EB3DC2" w:rsidP="00EB3DC2">
      <w:pPr>
        <w:numPr>
          <w:ilvl w:val="0"/>
          <w:numId w:val="1"/>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Rear frame</w:t>
      </w:r>
    </w:p>
    <w:p w:rsidR="00EB3DC2" w:rsidRPr="00EB3DC2" w:rsidRDefault="00EB3DC2" w:rsidP="00EB3DC2">
      <w:pPr>
        <w:numPr>
          <w:ilvl w:val="0"/>
          <w:numId w:val="1"/>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Fork </w:t>
      </w:r>
    </w:p>
    <w:p w:rsidR="00EB3DC2" w:rsidRPr="00EB3DC2" w:rsidRDefault="00EB3DC2" w:rsidP="00EB3DC2">
      <w:pPr>
        <w:numPr>
          <w:ilvl w:val="0"/>
          <w:numId w:val="1"/>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Seat post </w:t>
      </w:r>
    </w:p>
    <w:p w:rsidR="00EB3DC2" w:rsidRPr="00EB3DC2" w:rsidRDefault="00EB3DC2" w:rsidP="00EB3DC2">
      <w:pPr>
        <w:numPr>
          <w:ilvl w:val="0"/>
          <w:numId w:val="1"/>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Frame welds </w:t>
      </w:r>
    </w:p>
    <w:p w:rsidR="00EB3DC2" w:rsidRPr="00EB3DC2" w:rsidRDefault="00EB3DC2" w:rsidP="00EB3DC2">
      <w:pPr>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 xml:space="preserve">TWO YEAR WARRANTY - The following parts are covered by Golden Technologies </w:t>
      </w:r>
      <w:proofErr w:type="gramStart"/>
      <w:r w:rsidRPr="00EB3DC2">
        <w:rPr>
          <w:rFonts w:ascii="Open Sans" w:eastAsia="Times New Roman" w:hAnsi="Open Sans" w:cs="Open Sans"/>
          <w:color w:val="212529"/>
          <w:sz w:val="29"/>
          <w:szCs w:val="29"/>
        </w:rPr>
        <w:t>two year</w:t>
      </w:r>
      <w:proofErr w:type="gramEnd"/>
      <w:r w:rsidRPr="00EB3DC2">
        <w:rPr>
          <w:rFonts w:ascii="Open Sans" w:eastAsia="Times New Roman" w:hAnsi="Open Sans" w:cs="Open Sans"/>
          <w:color w:val="212529"/>
          <w:sz w:val="29"/>
          <w:szCs w:val="29"/>
        </w:rPr>
        <w:t xml:space="preserve"> warranty:</w:t>
      </w:r>
    </w:p>
    <w:p w:rsidR="00EB3DC2" w:rsidRPr="00EB3DC2" w:rsidRDefault="00EB3DC2" w:rsidP="00EB3DC2">
      <w:pPr>
        <w:numPr>
          <w:ilvl w:val="0"/>
          <w:numId w:val="2"/>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Drive train - 100% replacement of parts cost</w:t>
      </w:r>
    </w:p>
    <w:p w:rsidR="00EB3DC2" w:rsidRPr="00EB3DC2" w:rsidRDefault="00EB3DC2" w:rsidP="00EB3DC2">
      <w:pPr>
        <w:numPr>
          <w:ilvl w:val="0"/>
          <w:numId w:val="2"/>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Battery charger - 100% replacement of parts cost</w:t>
      </w:r>
    </w:p>
    <w:p w:rsidR="00EB3DC2" w:rsidRPr="00EB3DC2" w:rsidRDefault="00EB3DC2" w:rsidP="00EB3DC2">
      <w:pPr>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ONE YEAR WARRANTY</w:t>
      </w:r>
    </w:p>
    <w:p w:rsidR="00EB3DC2" w:rsidRPr="00EB3DC2" w:rsidRDefault="00EB3DC2" w:rsidP="00EB3DC2">
      <w:pPr>
        <w:numPr>
          <w:ilvl w:val="0"/>
          <w:numId w:val="3"/>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All other parts</w:t>
      </w:r>
    </w:p>
    <w:p w:rsidR="00EB3DC2" w:rsidRPr="00EB3DC2" w:rsidRDefault="00EB3DC2" w:rsidP="00EB3DC2">
      <w:pPr>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This warranty excludes the following parts:</w:t>
      </w:r>
    </w:p>
    <w:p w:rsidR="00EB3DC2" w:rsidRPr="00EB3DC2" w:rsidRDefault="00EB3DC2" w:rsidP="00EB3DC2">
      <w:pPr>
        <w:numPr>
          <w:ilvl w:val="0"/>
          <w:numId w:val="4"/>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lastRenderedPageBreak/>
        <w:t>Batteries*</w:t>
      </w:r>
    </w:p>
    <w:p w:rsidR="00EB3DC2" w:rsidRPr="00EB3DC2" w:rsidRDefault="00EB3DC2" w:rsidP="00EB3DC2">
      <w:pPr>
        <w:numPr>
          <w:ilvl w:val="0"/>
          <w:numId w:val="4"/>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Tires*</w:t>
      </w:r>
    </w:p>
    <w:p w:rsidR="00EB3DC2" w:rsidRPr="00EB3DC2" w:rsidRDefault="00EB3DC2" w:rsidP="00EB3DC2">
      <w:pPr>
        <w:numPr>
          <w:ilvl w:val="0"/>
          <w:numId w:val="4"/>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ABS plastic shrouds</w:t>
      </w:r>
    </w:p>
    <w:p w:rsidR="00EB3DC2" w:rsidRPr="00EB3DC2" w:rsidRDefault="00EB3DC2" w:rsidP="00EB3DC2">
      <w:pPr>
        <w:numPr>
          <w:ilvl w:val="0"/>
          <w:numId w:val="4"/>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Damage causes by battery fluid spillage or leakage</w:t>
      </w:r>
    </w:p>
    <w:p w:rsidR="00EB3DC2" w:rsidRPr="00EB3DC2" w:rsidRDefault="00EB3DC2" w:rsidP="00EB3DC2">
      <w:pPr>
        <w:numPr>
          <w:ilvl w:val="0"/>
          <w:numId w:val="4"/>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Damage caused by abuse, misuse, accident or negligence</w:t>
      </w:r>
    </w:p>
    <w:p w:rsidR="00EB3DC2" w:rsidRPr="00EB3DC2" w:rsidRDefault="00EB3DC2" w:rsidP="00EB3DC2">
      <w:pPr>
        <w:numPr>
          <w:ilvl w:val="0"/>
          <w:numId w:val="4"/>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Damage caused by improper operation, maintenance or storage. </w:t>
      </w:r>
    </w:p>
    <w:p w:rsidR="00EB3DC2" w:rsidRPr="00EB3DC2" w:rsidRDefault="00EB3DC2" w:rsidP="00EB3DC2">
      <w:pPr>
        <w:numPr>
          <w:ilvl w:val="0"/>
          <w:numId w:val="4"/>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Damage caused by commercial use or use other than normal.</w:t>
      </w:r>
    </w:p>
    <w:p w:rsidR="00EB3DC2" w:rsidRPr="00EB3DC2" w:rsidRDefault="00EB3DC2" w:rsidP="00EB3DC2">
      <w:pPr>
        <w:numPr>
          <w:ilvl w:val="0"/>
          <w:numId w:val="4"/>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Damage caused by repairs and/or modifications made to any part without specific consent from Golden Technologies, Inc.</w:t>
      </w:r>
    </w:p>
    <w:p w:rsidR="00EB3DC2" w:rsidRPr="00EB3DC2" w:rsidRDefault="00EB3DC2" w:rsidP="00EB3DC2">
      <w:pPr>
        <w:numPr>
          <w:ilvl w:val="0"/>
          <w:numId w:val="4"/>
        </w:numPr>
        <w:spacing w:before="100" w:beforeAutospacing="1" w:after="100" w:afterAutospacing="1"/>
        <w:ind w:left="1095"/>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Labor, service calls, shipping, and other charges incurred in repair of the product unless specifically authorized by Golden Technologies, Inc. This warranty does not include any labor charges incurred in replacement part installation.</w:t>
      </w:r>
    </w:p>
    <w:p w:rsidR="00EB3DC2" w:rsidRPr="00EB3DC2" w:rsidRDefault="00EB3DC2" w:rsidP="00EB3DC2">
      <w:pPr>
        <w:rPr>
          <w:rFonts w:ascii="Open Sans" w:eastAsia="Times New Roman" w:hAnsi="Open Sans" w:cs="Open Sans"/>
          <w:color w:val="212529"/>
          <w:sz w:val="29"/>
          <w:szCs w:val="29"/>
        </w:rPr>
      </w:pPr>
      <w:r w:rsidRPr="00EB3DC2">
        <w:rPr>
          <w:rFonts w:ascii="Open Sans" w:eastAsia="Times New Roman" w:hAnsi="Open Sans" w:cs="Open Sans"/>
          <w:color w:val="212529"/>
          <w:sz w:val="29"/>
          <w:szCs w:val="29"/>
        </w:rPr>
        <w:t>Implied warranties, including those of merchantability and fitness for a particular purpose, are excluded. Liabilities for consequential damage are excluded.</w:t>
      </w:r>
      <w:r w:rsidRPr="00EB3DC2">
        <w:rPr>
          <w:rFonts w:ascii="Open Sans" w:eastAsia="Times New Roman" w:hAnsi="Open Sans" w:cs="Open Sans"/>
          <w:color w:val="212529"/>
          <w:sz w:val="29"/>
          <w:szCs w:val="29"/>
        </w:rPr>
        <w:br/>
      </w:r>
      <w:r w:rsidRPr="00EB3DC2">
        <w:rPr>
          <w:rFonts w:ascii="Open Sans" w:eastAsia="Times New Roman" w:hAnsi="Open Sans" w:cs="Open Sans"/>
          <w:color w:val="212529"/>
          <w:sz w:val="29"/>
          <w:szCs w:val="29"/>
        </w:rPr>
        <w:br/>
        <w:t>This warranty gives you specific rights and you may also have other rights, which vary from state to state.</w:t>
      </w:r>
      <w:r w:rsidRPr="00EB3DC2">
        <w:rPr>
          <w:rFonts w:ascii="Open Sans" w:eastAsia="Times New Roman" w:hAnsi="Open Sans" w:cs="Open Sans"/>
          <w:color w:val="212529"/>
          <w:sz w:val="29"/>
          <w:szCs w:val="29"/>
        </w:rPr>
        <w:br/>
      </w:r>
      <w:r w:rsidRPr="00EB3DC2">
        <w:rPr>
          <w:rFonts w:ascii="Open Sans" w:eastAsia="Times New Roman" w:hAnsi="Open Sans" w:cs="Open Sans"/>
          <w:color w:val="212529"/>
          <w:sz w:val="29"/>
          <w:szCs w:val="29"/>
        </w:rPr>
        <w:br/>
        <w:t>To obtain warranty parts and service, you must have a warranty registration card filed with Golden Technologies. Contact your Golden Technologies authorized dealer for service. </w:t>
      </w:r>
      <w:r w:rsidRPr="00EB3DC2">
        <w:rPr>
          <w:rFonts w:ascii="Open Sans" w:eastAsia="Times New Roman" w:hAnsi="Open Sans" w:cs="Open Sans"/>
          <w:color w:val="212529"/>
          <w:sz w:val="29"/>
          <w:szCs w:val="29"/>
        </w:rPr>
        <w:br/>
      </w:r>
      <w:r w:rsidRPr="00EB3DC2">
        <w:rPr>
          <w:rFonts w:ascii="Open Sans" w:eastAsia="Times New Roman" w:hAnsi="Open Sans" w:cs="Open Sans"/>
          <w:color w:val="212529"/>
          <w:sz w:val="29"/>
          <w:szCs w:val="29"/>
        </w:rPr>
        <w:br/>
        <w:t>The warranty period commences on the purchase date from the seller/dealer. If the product is rented or otherwise not sold to the consumer, the warranty commences on the invoice date from Golden Technologies. </w:t>
      </w:r>
      <w:r w:rsidRPr="00EB3DC2">
        <w:rPr>
          <w:rFonts w:ascii="Open Sans" w:eastAsia="Times New Roman" w:hAnsi="Open Sans" w:cs="Open Sans"/>
          <w:color w:val="212529"/>
          <w:sz w:val="29"/>
          <w:szCs w:val="29"/>
        </w:rPr>
        <w:br/>
      </w:r>
      <w:r w:rsidRPr="00EB3DC2">
        <w:rPr>
          <w:rFonts w:ascii="Open Sans" w:eastAsia="Times New Roman" w:hAnsi="Open Sans" w:cs="Open Sans"/>
          <w:color w:val="212529"/>
          <w:sz w:val="29"/>
          <w:szCs w:val="29"/>
        </w:rPr>
        <w:br/>
        <w:t>*Warranty from original vendor may apply</w:t>
      </w:r>
      <w:r w:rsidRPr="00EB3DC2">
        <w:rPr>
          <w:rFonts w:ascii="Open Sans" w:eastAsia="Times New Roman" w:hAnsi="Open Sans" w:cs="Open Sans"/>
          <w:color w:val="212529"/>
          <w:sz w:val="29"/>
          <w:szCs w:val="29"/>
        </w:rPr>
        <w:br/>
      </w:r>
      <w:r w:rsidRPr="00EB3DC2">
        <w:rPr>
          <w:rFonts w:ascii="Open Sans" w:eastAsia="Times New Roman" w:hAnsi="Open Sans" w:cs="Open Sans"/>
          <w:color w:val="212529"/>
          <w:sz w:val="29"/>
          <w:szCs w:val="29"/>
        </w:rPr>
        <w:lastRenderedPageBreak/>
        <w:br/>
        <w:t>The above information is subject to change without prior notice.</w:t>
      </w:r>
    </w:p>
    <w:p w:rsidR="003C7228" w:rsidRDefault="003C7228"/>
    <w:sectPr w:rsidR="003C7228" w:rsidSect="00550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Black">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71E24"/>
    <w:multiLevelType w:val="multilevel"/>
    <w:tmpl w:val="19FC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D1A55"/>
    <w:multiLevelType w:val="multilevel"/>
    <w:tmpl w:val="B28A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764AF"/>
    <w:multiLevelType w:val="multilevel"/>
    <w:tmpl w:val="ACD2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CD19DE"/>
    <w:multiLevelType w:val="multilevel"/>
    <w:tmpl w:val="369A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353717">
    <w:abstractNumId w:val="1"/>
  </w:num>
  <w:num w:numId="2" w16cid:durableId="810364551">
    <w:abstractNumId w:val="2"/>
  </w:num>
  <w:num w:numId="3" w16cid:durableId="393433592">
    <w:abstractNumId w:val="0"/>
  </w:num>
  <w:num w:numId="4" w16cid:durableId="590629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C2"/>
    <w:rsid w:val="003C7228"/>
    <w:rsid w:val="00550C1A"/>
    <w:rsid w:val="00D87EB9"/>
    <w:rsid w:val="00EB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A94002"/>
  <w15:chartTrackingRefBased/>
  <w15:docId w15:val="{7E37C1D7-EA3F-204C-9B68-AC929E07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3DC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DC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B3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071342">
      <w:bodyDiv w:val="1"/>
      <w:marLeft w:val="0"/>
      <w:marRight w:val="0"/>
      <w:marTop w:val="0"/>
      <w:marBottom w:val="0"/>
      <w:divBdr>
        <w:top w:val="none" w:sz="0" w:space="0" w:color="auto"/>
        <w:left w:val="none" w:sz="0" w:space="0" w:color="auto"/>
        <w:bottom w:val="none" w:sz="0" w:space="0" w:color="auto"/>
        <w:right w:val="none" w:sz="0" w:space="0" w:color="auto"/>
      </w:divBdr>
      <w:divsChild>
        <w:div w:id="111563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dc:creator>
  <cp:keywords/>
  <dc:description/>
  <cp:lastModifiedBy>j r</cp:lastModifiedBy>
  <cp:revision>1</cp:revision>
  <dcterms:created xsi:type="dcterms:W3CDTF">2024-04-12T01:24:00Z</dcterms:created>
  <dcterms:modified xsi:type="dcterms:W3CDTF">2024-04-12T01:32:00Z</dcterms:modified>
</cp:coreProperties>
</file>